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BB" w:rsidRPr="004764BB" w:rsidRDefault="004764BB" w:rsidP="007704C1">
      <w:pPr>
        <w:rPr>
          <w:b/>
        </w:rPr>
      </w:pPr>
      <w:r w:rsidRPr="004764BB">
        <w:rPr>
          <w:b/>
        </w:rPr>
        <w:t>4. Business Analysis</w:t>
      </w:r>
      <w:bookmarkStart w:id="0" w:name="_GoBack"/>
      <w:bookmarkEnd w:id="0"/>
    </w:p>
    <w:p w:rsidR="007704C1" w:rsidRDefault="007704C1" w:rsidP="007704C1">
      <w:r>
        <w:t xml:space="preserve">The Corporation should go for a convertible bond. This will help address the need for capital which I sin the short run and the long-run need for equity. Since the stock prices are expected to recover in a year or two, the good long-term prospects may attract investors and have them accepting the current low interest rates with the option of converting into equity in future.  In the longer run if the stock price goes up, convertible debt will eventually become equity at a conversion price substantially above the stock’s current market value. The issuing of a convertible bond will be a deferred sale of equity. The futuristic prospects will enable the investors to take the risk of investing in Paliflex. </w:t>
      </w:r>
    </w:p>
    <w:sectPr w:rsidR="00770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4C1"/>
    <w:rsid w:val="00024D61"/>
    <w:rsid w:val="004764BB"/>
    <w:rsid w:val="007202D2"/>
    <w:rsid w:val="00770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109</Words>
  <Characters>624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KCDF Intern</dc:creator>
  <cp:lastModifiedBy>Joyce Nyawira</cp:lastModifiedBy>
  <cp:revision>2</cp:revision>
  <dcterms:created xsi:type="dcterms:W3CDTF">2018-11-16T19:25:00Z</dcterms:created>
  <dcterms:modified xsi:type="dcterms:W3CDTF">2018-11-16T19:25:00Z</dcterms:modified>
</cp:coreProperties>
</file>